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CB" w:rsidRDefault="00C064F0" w:rsidP="00EB28CB">
      <w:pPr>
        <w:pStyle w:val="Default"/>
        <w:rPr>
          <w:b/>
          <w:sz w:val="23"/>
          <w:szCs w:val="23"/>
          <w:lang w:val="en-GB"/>
        </w:rPr>
      </w:pPr>
      <w:r>
        <w:rPr>
          <w:b/>
          <w:sz w:val="23"/>
          <w:szCs w:val="23"/>
          <w:lang w:val="en-GB"/>
        </w:rPr>
        <w:t>Final report for project “</w:t>
      </w:r>
      <w:r w:rsidR="00EB28CB" w:rsidRPr="00BD3787">
        <w:rPr>
          <w:b/>
          <w:sz w:val="23"/>
          <w:szCs w:val="23"/>
          <w:lang w:val="en-GB"/>
        </w:rPr>
        <w:t>Winter colony losses and renewal of honey bee livestock in Austria and in Czech Republic</w:t>
      </w:r>
      <w:r>
        <w:rPr>
          <w:b/>
          <w:sz w:val="23"/>
          <w:szCs w:val="23"/>
          <w:lang w:val="en-GB"/>
        </w:rPr>
        <w:t>” (69p11)</w:t>
      </w:r>
      <w:r w:rsidR="00EB28CB" w:rsidRPr="00BD3787">
        <w:rPr>
          <w:b/>
          <w:sz w:val="23"/>
          <w:szCs w:val="23"/>
          <w:lang w:val="en-GB"/>
        </w:rPr>
        <w:t xml:space="preserve"> </w:t>
      </w:r>
    </w:p>
    <w:p w:rsidR="00C064F0" w:rsidRDefault="00C064F0" w:rsidP="00EB28CB">
      <w:pPr>
        <w:pStyle w:val="Default"/>
        <w:rPr>
          <w:b/>
          <w:sz w:val="23"/>
          <w:szCs w:val="23"/>
          <w:lang w:val="en-GB"/>
        </w:rPr>
      </w:pPr>
    </w:p>
    <w:p w:rsidR="00C064F0" w:rsidRDefault="00C064F0" w:rsidP="00EB28CB">
      <w:pPr>
        <w:pStyle w:val="Default"/>
        <w:rPr>
          <w:b/>
          <w:sz w:val="23"/>
          <w:szCs w:val="23"/>
          <w:lang w:val="en-GB"/>
        </w:rPr>
      </w:pPr>
      <w:r>
        <w:rPr>
          <w:b/>
          <w:sz w:val="23"/>
          <w:szCs w:val="23"/>
          <w:lang w:val="en-GB"/>
        </w:rPr>
        <w:t>Written by</w:t>
      </w:r>
      <w:r w:rsidR="009F395B">
        <w:rPr>
          <w:b/>
          <w:sz w:val="23"/>
          <w:szCs w:val="23"/>
          <w:lang w:val="en-GB"/>
        </w:rPr>
        <w:t xml:space="preserve"> </w:t>
      </w:r>
      <w:proofErr w:type="spellStart"/>
      <w:r w:rsidR="009F395B">
        <w:rPr>
          <w:b/>
          <w:sz w:val="23"/>
          <w:szCs w:val="23"/>
          <w:lang w:val="en-GB"/>
        </w:rPr>
        <w:t>Zdeněk</w:t>
      </w:r>
      <w:proofErr w:type="spellEnd"/>
      <w:r w:rsidR="009F395B">
        <w:rPr>
          <w:b/>
          <w:sz w:val="23"/>
          <w:szCs w:val="23"/>
          <w:lang w:val="en-GB"/>
        </w:rPr>
        <w:t xml:space="preserve"> </w:t>
      </w:r>
      <w:proofErr w:type="spellStart"/>
      <w:r w:rsidR="009F395B">
        <w:rPr>
          <w:b/>
          <w:sz w:val="23"/>
          <w:szCs w:val="23"/>
          <w:lang w:val="en-GB"/>
        </w:rPr>
        <w:t>Klíma</w:t>
      </w:r>
      <w:proofErr w:type="spellEnd"/>
      <w:r w:rsidR="009F395B">
        <w:rPr>
          <w:b/>
          <w:sz w:val="23"/>
          <w:szCs w:val="23"/>
          <w:lang w:val="en-GB"/>
        </w:rPr>
        <w:t xml:space="preserve">, </w:t>
      </w:r>
      <w:proofErr w:type="spellStart"/>
      <w:r w:rsidR="009F395B">
        <w:rPr>
          <w:b/>
          <w:sz w:val="23"/>
          <w:szCs w:val="23"/>
          <w:lang w:val="en-GB"/>
        </w:rPr>
        <w:t>Jiří</w:t>
      </w:r>
      <w:proofErr w:type="spellEnd"/>
      <w:r w:rsidR="009F395B">
        <w:rPr>
          <w:b/>
          <w:sz w:val="23"/>
          <w:szCs w:val="23"/>
          <w:lang w:val="en-GB"/>
        </w:rPr>
        <w:t xml:space="preserve"> </w:t>
      </w:r>
      <w:proofErr w:type="spellStart"/>
      <w:r w:rsidR="009F395B">
        <w:rPr>
          <w:b/>
          <w:sz w:val="23"/>
          <w:szCs w:val="23"/>
          <w:lang w:val="en-GB"/>
        </w:rPr>
        <w:t>Danihlík</w:t>
      </w:r>
      <w:proofErr w:type="spellEnd"/>
      <w:r w:rsidR="009F395B">
        <w:rPr>
          <w:b/>
          <w:sz w:val="23"/>
          <w:szCs w:val="23"/>
          <w:lang w:val="en-GB"/>
        </w:rPr>
        <w:t xml:space="preserve"> and</w:t>
      </w:r>
      <w:bookmarkStart w:id="0" w:name="_GoBack"/>
      <w:bookmarkEnd w:id="0"/>
      <w:r w:rsidR="009F395B">
        <w:rPr>
          <w:b/>
          <w:sz w:val="23"/>
          <w:szCs w:val="23"/>
          <w:lang w:val="en-GB"/>
        </w:rPr>
        <w:t xml:space="preserve"> Robert </w:t>
      </w:r>
      <w:proofErr w:type="spellStart"/>
      <w:r w:rsidR="009F395B">
        <w:rPr>
          <w:b/>
          <w:sz w:val="23"/>
          <w:szCs w:val="23"/>
          <w:lang w:val="en-GB"/>
        </w:rPr>
        <w:t>Brodschneider</w:t>
      </w:r>
      <w:proofErr w:type="spellEnd"/>
      <w:r>
        <w:rPr>
          <w:b/>
          <w:sz w:val="23"/>
          <w:szCs w:val="23"/>
          <w:lang w:val="en-GB"/>
        </w:rPr>
        <w:t xml:space="preserve"> </w:t>
      </w:r>
    </w:p>
    <w:p w:rsidR="00C064F0" w:rsidRPr="00BD3787" w:rsidRDefault="00C064F0" w:rsidP="00EB28CB">
      <w:pPr>
        <w:pStyle w:val="Default"/>
        <w:rPr>
          <w:b/>
          <w:sz w:val="23"/>
          <w:szCs w:val="23"/>
          <w:lang w:val="en-GB"/>
        </w:rPr>
      </w:pPr>
      <w:r>
        <w:rPr>
          <w:b/>
          <w:sz w:val="23"/>
          <w:szCs w:val="23"/>
          <w:lang w:val="en-GB"/>
        </w:rPr>
        <w:t>November 2014</w:t>
      </w:r>
    </w:p>
    <w:p w:rsidR="00EB28CB" w:rsidRPr="000A2DB6" w:rsidRDefault="00EB28CB" w:rsidP="00EB28CB">
      <w:pPr>
        <w:pStyle w:val="Default"/>
        <w:rPr>
          <w:sz w:val="23"/>
          <w:szCs w:val="23"/>
          <w:lang w:val="en-GB"/>
        </w:rPr>
      </w:pPr>
    </w:p>
    <w:p w:rsidR="00EB28CB" w:rsidRDefault="000A2DB6" w:rsidP="00D85CA2">
      <w:pPr>
        <w:rPr>
          <w:lang w:val="en-GB"/>
        </w:rPr>
      </w:pPr>
      <w:r w:rsidRPr="000A2DB6">
        <w:rPr>
          <w:lang w:val="en-GB"/>
        </w:rPr>
        <w:t xml:space="preserve">The pilot cooperation between </w:t>
      </w:r>
      <w:r w:rsidR="008A783B">
        <w:rPr>
          <w:lang w:val="en-GB"/>
        </w:rPr>
        <w:t xml:space="preserve">the </w:t>
      </w:r>
      <w:r w:rsidRPr="000A2DB6">
        <w:rPr>
          <w:lang w:val="en-GB"/>
        </w:rPr>
        <w:t>Czech</w:t>
      </w:r>
      <w:r w:rsidR="008A783B">
        <w:rPr>
          <w:lang w:val="en-GB"/>
        </w:rPr>
        <w:t xml:space="preserve"> Republic</w:t>
      </w:r>
      <w:r w:rsidRPr="000A2DB6">
        <w:rPr>
          <w:lang w:val="en-GB"/>
        </w:rPr>
        <w:t xml:space="preserve"> and Austria in honey bee research field started thanks</w:t>
      </w:r>
      <w:r>
        <w:rPr>
          <w:lang w:val="en-GB"/>
        </w:rPr>
        <w:t xml:space="preserve"> to the AKTION program in February 2014. Czech researches </w:t>
      </w:r>
      <w:proofErr w:type="spellStart"/>
      <w:r>
        <w:rPr>
          <w:lang w:val="en-GB"/>
        </w:rPr>
        <w:t>Jiří</w:t>
      </w:r>
      <w:proofErr w:type="spellEnd"/>
      <w:r>
        <w:rPr>
          <w:lang w:val="en-GB"/>
        </w:rPr>
        <w:t xml:space="preserve"> </w:t>
      </w:r>
      <w:proofErr w:type="spellStart"/>
      <w:r>
        <w:rPr>
          <w:lang w:val="en-GB"/>
        </w:rPr>
        <w:t>Danihlík</w:t>
      </w:r>
      <w:proofErr w:type="spellEnd"/>
      <w:r>
        <w:rPr>
          <w:lang w:val="en-GB"/>
        </w:rPr>
        <w:t xml:space="preserve"> and </w:t>
      </w:r>
      <w:proofErr w:type="spellStart"/>
      <w:r>
        <w:rPr>
          <w:lang w:val="en-GB"/>
        </w:rPr>
        <w:t>Zdeněk</w:t>
      </w:r>
      <w:proofErr w:type="spellEnd"/>
      <w:r>
        <w:rPr>
          <w:lang w:val="en-GB"/>
        </w:rPr>
        <w:t xml:space="preserve"> </w:t>
      </w:r>
      <w:proofErr w:type="spellStart"/>
      <w:r>
        <w:rPr>
          <w:lang w:val="en-GB"/>
        </w:rPr>
        <w:t>Klíma</w:t>
      </w:r>
      <w:proofErr w:type="spellEnd"/>
      <w:r>
        <w:rPr>
          <w:lang w:val="en-GB"/>
        </w:rPr>
        <w:t xml:space="preserve"> went to </w:t>
      </w:r>
      <w:r w:rsidR="008A783B">
        <w:rPr>
          <w:lang w:val="en-GB"/>
        </w:rPr>
        <w:t xml:space="preserve">the </w:t>
      </w:r>
      <w:r w:rsidR="00710D05">
        <w:rPr>
          <w:lang w:val="en-GB"/>
        </w:rPr>
        <w:t>Karl-</w:t>
      </w:r>
      <w:proofErr w:type="spellStart"/>
      <w:r w:rsidR="00710D05">
        <w:rPr>
          <w:lang w:val="en-GB"/>
        </w:rPr>
        <w:t>Franzens</w:t>
      </w:r>
      <w:proofErr w:type="spellEnd"/>
      <w:r w:rsidR="00710D05">
        <w:rPr>
          <w:lang w:val="en-GB"/>
        </w:rPr>
        <w:t xml:space="preserve"> </w:t>
      </w:r>
      <w:proofErr w:type="spellStart"/>
      <w:r w:rsidR="00710D05">
        <w:rPr>
          <w:lang w:val="en-GB"/>
        </w:rPr>
        <w:t>Universität</w:t>
      </w:r>
      <w:proofErr w:type="spellEnd"/>
      <w:r w:rsidR="00710D05">
        <w:rPr>
          <w:lang w:val="en-GB"/>
        </w:rPr>
        <w:t xml:space="preserve"> Graz </w:t>
      </w:r>
      <w:r>
        <w:rPr>
          <w:lang w:val="en-GB"/>
        </w:rPr>
        <w:t xml:space="preserve">to participate in a </w:t>
      </w:r>
      <w:r w:rsidR="00816E08">
        <w:rPr>
          <w:lang w:val="en-GB"/>
        </w:rPr>
        <w:t>meeting</w:t>
      </w:r>
      <w:r>
        <w:rPr>
          <w:lang w:val="en-GB"/>
        </w:rPr>
        <w:t xml:space="preserve"> “Monitoring of honey bee colony losses”. </w:t>
      </w:r>
      <w:proofErr w:type="spellStart"/>
      <w:r>
        <w:rPr>
          <w:lang w:val="en-GB"/>
        </w:rPr>
        <w:t>Zden</w:t>
      </w:r>
      <w:r w:rsidR="008A783B">
        <w:rPr>
          <w:lang w:val="en-GB"/>
        </w:rPr>
        <w:t>ěk</w:t>
      </w:r>
      <w:proofErr w:type="spellEnd"/>
      <w:r w:rsidR="008A783B">
        <w:rPr>
          <w:lang w:val="en-GB"/>
        </w:rPr>
        <w:t xml:space="preserve"> </w:t>
      </w:r>
      <w:proofErr w:type="spellStart"/>
      <w:r w:rsidR="008A783B">
        <w:rPr>
          <w:lang w:val="en-GB"/>
        </w:rPr>
        <w:t>Klíma</w:t>
      </w:r>
      <w:proofErr w:type="spellEnd"/>
      <w:r w:rsidR="008A783B">
        <w:rPr>
          <w:lang w:val="en-GB"/>
        </w:rPr>
        <w:t xml:space="preserve"> and </w:t>
      </w:r>
      <w:proofErr w:type="spellStart"/>
      <w:r w:rsidR="008A783B">
        <w:rPr>
          <w:lang w:val="en-GB"/>
        </w:rPr>
        <w:t>Jiří</w:t>
      </w:r>
      <w:proofErr w:type="spellEnd"/>
      <w:r w:rsidR="008A783B">
        <w:rPr>
          <w:lang w:val="en-GB"/>
        </w:rPr>
        <w:t xml:space="preserve"> </w:t>
      </w:r>
      <w:proofErr w:type="spellStart"/>
      <w:r w:rsidR="008A783B">
        <w:rPr>
          <w:lang w:val="en-GB"/>
        </w:rPr>
        <w:t>Danihlí</w:t>
      </w:r>
      <w:r>
        <w:rPr>
          <w:lang w:val="en-GB"/>
        </w:rPr>
        <w:t>k</w:t>
      </w:r>
      <w:proofErr w:type="spellEnd"/>
      <w:r>
        <w:rPr>
          <w:lang w:val="en-GB"/>
        </w:rPr>
        <w:t xml:space="preserve"> presented </w:t>
      </w:r>
      <w:r w:rsidR="00816E08">
        <w:rPr>
          <w:lang w:val="en-GB"/>
        </w:rPr>
        <w:t>the beekeeping situation in the Czech Republic and</w:t>
      </w:r>
      <w:r w:rsidR="008A783B">
        <w:rPr>
          <w:lang w:val="en-GB"/>
        </w:rPr>
        <w:t xml:space="preserve"> were introduced into the COLOSS</w:t>
      </w:r>
      <w:r w:rsidR="00816E08">
        <w:rPr>
          <w:lang w:val="en-GB"/>
        </w:rPr>
        <w:t xml:space="preserve"> </w:t>
      </w:r>
      <w:r w:rsidR="00C064F0">
        <w:rPr>
          <w:lang w:val="en-GB"/>
        </w:rPr>
        <w:t>standards of estimating honey bee colony losses during winter</w:t>
      </w:r>
      <w:r w:rsidR="00816E08">
        <w:rPr>
          <w:lang w:val="en-GB"/>
        </w:rPr>
        <w:t xml:space="preserve">. The standardized method for </w:t>
      </w:r>
      <w:r w:rsidR="008A783B">
        <w:rPr>
          <w:lang w:val="en-GB"/>
        </w:rPr>
        <w:t xml:space="preserve">the </w:t>
      </w:r>
      <w:r w:rsidR="00816E08">
        <w:rPr>
          <w:lang w:val="en-GB"/>
        </w:rPr>
        <w:t xml:space="preserve">honey bee colony losses </w:t>
      </w:r>
      <w:r w:rsidR="008A783B">
        <w:rPr>
          <w:lang w:val="en-GB"/>
        </w:rPr>
        <w:t xml:space="preserve">monitoring </w:t>
      </w:r>
      <w:r w:rsidR="00816E08">
        <w:rPr>
          <w:lang w:val="en-GB"/>
        </w:rPr>
        <w:t xml:space="preserve">was established during the seminar. All materials were translated into the Czech language and used for the Czech survey. </w:t>
      </w:r>
    </w:p>
    <w:p w:rsidR="00816E08" w:rsidRDefault="00816E08" w:rsidP="00D85CA2">
      <w:pPr>
        <w:rPr>
          <w:lang w:val="en-GB"/>
        </w:rPr>
      </w:pPr>
      <w:r>
        <w:rPr>
          <w:lang w:val="en-GB"/>
        </w:rPr>
        <w:t xml:space="preserve">The Czech survey was open for </w:t>
      </w:r>
      <w:r w:rsidR="008A783B">
        <w:rPr>
          <w:lang w:val="en-GB"/>
        </w:rPr>
        <w:t>all beekeepers</w:t>
      </w:r>
      <w:r>
        <w:rPr>
          <w:lang w:val="en-GB"/>
        </w:rPr>
        <w:t xml:space="preserve"> </w:t>
      </w:r>
      <w:r w:rsidR="008A783B">
        <w:rPr>
          <w:lang w:val="en-GB"/>
        </w:rPr>
        <w:t xml:space="preserve">in the Czech Republic </w:t>
      </w:r>
      <w:r w:rsidR="00C064F0">
        <w:rPr>
          <w:lang w:val="en-GB"/>
        </w:rPr>
        <w:t>from</w:t>
      </w:r>
      <w:r>
        <w:rPr>
          <w:lang w:val="en-GB"/>
        </w:rPr>
        <w:t xml:space="preserve"> March </w:t>
      </w:r>
      <w:r w:rsidR="00C064F0">
        <w:rPr>
          <w:lang w:val="en-GB"/>
        </w:rPr>
        <w:t>to</w:t>
      </w:r>
      <w:r>
        <w:rPr>
          <w:lang w:val="en-GB"/>
        </w:rPr>
        <w:t xml:space="preserve"> May 2014</w:t>
      </w:r>
      <w:r w:rsidR="008A783B">
        <w:rPr>
          <w:lang w:val="en-GB"/>
        </w:rPr>
        <w:t>. Beekeepe</w:t>
      </w:r>
      <w:r w:rsidR="00230E27">
        <w:rPr>
          <w:lang w:val="en-GB"/>
        </w:rPr>
        <w:t>r</w:t>
      </w:r>
      <w:r w:rsidR="00C064F0">
        <w:rPr>
          <w:lang w:val="en-GB"/>
        </w:rPr>
        <w:t>s were informed about the runn</w:t>
      </w:r>
      <w:r w:rsidR="00230E27">
        <w:rPr>
          <w:lang w:val="en-GB"/>
        </w:rPr>
        <w:t>i</w:t>
      </w:r>
      <w:r w:rsidR="00C064F0">
        <w:rPr>
          <w:lang w:val="en-GB"/>
        </w:rPr>
        <w:t>n</w:t>
      </w:r>
      <w:r w:rsidR="00230E27">
        <w:rPr>
          <w:lang w:val="en-GB"/>
        </w:rPr>
        <w:t>g survey by beekeeping magazines (</w:t>
      </w:r>
      <w:proofErr w:type="spellStart"/>
      <w:r w:rsidR="00230E27">
        <w:rPr>
          <w:lang w:val="en-GB"/>
        </w:rPr>
        <w:t>Český</w:t>
      </w:r>
      <w:proofErr w:type="spellEnd"/>
      <w:r w:rsidR="00230E27">
        <w:rPr>
          <w:lang w:val="en-GB"/>
        </w:rPr>
        <w:t xml:space="preserve"> </w:t>
      </w:r>
      <w:proofErr w:type="spellStart"/>
      <w:r w:rsidR="00230E27">
        <w:rPr>
          <w:lang w:val="en-GB"/>
        </w:rPr>
        <w:t>Coloss</w:t>
      </w:r>
      <w:proofErr w:type="spellEnd"/>
      <w:r w:rsidR="00230E27">
        <w:rPr>
          <w:lang w:val="en-GB"/>
        </w:rPr>
        <w:t xml:space="preserve"> se </w:t>
      </w:r>
      <w:proofErr w:type="spellStart"/>
      <w:r w:rsidR="00230E27">
        <w:rPr>
          <w:lang w:val="en-GB"/>
        </w:rPr>
        <w:t>rozhýbal</w:t>
      </w:r>
      <w:proofErr w:type="spellEnd"/>
      <w:r w:rsidR="00230E27">
        <w:rPr>
          <w:lang w:val="en-GB"/>
        </w:rPr>
        <w:t xml:space="preserve">, </w:t>
      </w:r>
      <w:proofErr w:type="spellStart"/>
      <w:r w:rsidR="00230E27">
        <w:rPr>
          <w:lang w:val="en-GB"/>
        </w:rPr>
        <w:t>Moderní</w:t>
      </w:r>
      <w:proofErr w:type="spellEnd"/>
      <w:r w:rsidR="00230E27">
        <w:rPr>
          <w:lang w:val="en-GB"/>
        </w:rPr>
        <w:t xml:space="preserve"> </w:t>
      </w:r>
      <w:proofErr w:type="spellStart"/>
      <w:r w:rsidR="00230E27">
        <w:rPr>
          <w:lang w:val="en-GB"/>
        </w:rPr>
        <w:t>včelař</w:t>
      </w:r>
      <w:proofErr w:type="spellEnd"/>
      <w:r w:rsidR="00230E27">
        <w:rPr>
          <w:lang w:val="en-GB"/>
        </w:rPr>
        <w:t xml:space="preserve"> 1/2014; </w:t>
      </w:r>
      <w:proofErr w:type="spellStart"/>
      <w:r w:rsidR="00230E27">
        <w:rPr>
          <w:lang w:val="en-GB"/>
        </w:rPr>
        <w:t>Pomozte</w:t>
      </w:r>
      <w:proofErr w:type="spellEnd"/>
      <w:r w:rsidR="00230E27">
        <w:rPr>
          <w:lang w:val="en-GB"/>
        </w:rPr>
        <w:t xml:space="preserve"> </w:t>
      </w:r>
      <w:proofErr w:type="spellStart"/>
      <w:r w:rsidR="00230E27">
        <w:rPr>
          <w:lang w:val="en-GB"/>
        </w:rPr>
        <w:t>zmapovat</w:t>
      </w:r>
      <w:proofErr w:type="spellEnd"/>
      <w:r w:rsidR="00230E27">
        <w:rPr>
          <w:lang w:val="en-GB"/>
        </w:rPr>
        <w:t xml:space="preserve"> </w:t>
      </w:r>
      <w:proofErr w:type="spellStart"/>
      <w:r w:rsidR="00230E27">
        <w:rPr>
          <w:lang w:val="en-GB"/>
        </w:rPr>
        <w:t>počty</w:t>
      </w:r>
      <w:proofErr w:type="spellEnd"/>
      <w:r w:rsidR="00230E27">
        <w:rPr>
          <w:lang w:val="en-GB"/>
        </w:rPr>
        <w:t xml:space="preserve"> </w:t>
      </w:r>
      <w:proofErr w:type="spellStart"/>
      <w:r w:rsidR="00230E27">
        <w:rPr>
          <w:lang w:val="en-GB"/>
        </w:rPr>
        <w:t>vyzimovaných</w:t>
      </w:r>
      <w:proofErr w:type="spellEnd"/>
      <w:r w:rsidR="00230E27">
        <w:rPr>
          <w:lang w:val="en-GB"/>
        </w:rPr>
        <w:t xml:space="preserve"> </w:t>
      </w:r>
      <w:proofErr w:type="spellStart"/>
      <w:r w:rsidR="00230E27">
        <w:rPr>
          <w:lang w:val="en-GB"/>
        </w:rPr>
        <w:t>včelstev</w:t>
      </w:r>
      <w:proofErr w:type="spellEnd"/>
      <w:r w:rsidR="00230E27">
        <w:rPr>
          <w:lang w:val="en-GB"/>
        </w:rPr>
        <w:t xml:space="preserve">, </w:t>
      </w:r>
      <w:proofErr w:type="spellStart"/>
      <w:r w:rsidR="00230E27">
        <w:rPr>
          <w:lang w:val="en-GB"/>
        </w:rPr>
        <w:t>Moderní</w:t>
      </w:r>
      <w:proofErr w:type="spellEnd"/>
      <w:r w:rsidR="00230E27">
        <w:rPr>
          <w:lang w:val="en-GB"/>
        </w:rPr>
        <w:t xml:space="preserve"> </w:t>
      </w:r>
      <w:proofErr w:type="spellStart"/>
      <w:r w:rsidR="00230E27">
        <w:rPr>
          <w:lang w:val="en-GB"/>
        </w:rPr>
        <w:t>včelař</w:t>
      </w:r>
      <w:proofErr w:type="spellEnd"/>
      <w:r w:rsidR="00230E27">
        <w:rPr>
          <w:lang w:val="en-GB"/>
        </w:rPr>
        <w:t xml:space="preserve"> 2/2014)</w:t>
      </w:r>
      <w:r w:rsidR="006C163D">
        <w:rPr>
          <w:lang w:val="en-GB"/>
        </w:rPr>
        <w:t>, by the Internet</w:t>
      </w:r>
      <w:r w:rsidR="00C064F0">
        <w:rPr>
          <w:lang w:val="en-GB"/>
        </w:rPr>
        <w:t xml:space="preserve"> (</w:t>
      </w:r>
      <w:hyperlink r:id="rId5" w:history="1">
        <w:r w:rsidR="00C064F0" w:rsidRPr="00554A32">
          <w:rPr>
            <w:rStyle w:val="Hypertextovodkaz"/>
            <w:lang w:val="en-GB"/>
          </w:rPr>
          <w:t>www.psnv.cz</w:t>
        </w:r>
      </w:hyperlink>
      <w:r w:rsidR="00C064F0">
        <w:rPr>
          <w:lang w:val="en-GB"/>
        </w:rPr>
        <w:t>)</w:t>
      </w:r>
      <w:r w:rsidR="006C163D">
        <w:rPr>
          <w:lang w:val="en-GB"/>
        </w:rPr>
        <w:t xml:space="preserve">, the information was also spread </w:t>
      </w:r>
      <w:r w:rsidR="00230E27">
        <w:rPr>
          <w:lang w:val="en-GB"/>
        </w:rPr>
        <w:t xml:space="preserve">during lectures and presentations given at meetings. </w:t>
      </w:r>
      <w:r w:rsidR="00D6729A">
        <w:rPr>
          <w:lang w:val="en-GB"/>
        </w:rPr>
        <w:t>556 Czech beekeep</w:t>
      </w:r>
      <w:r w:rsidR="006C163D">
        <w:rPr>
          <w:lang w:val="en-GB"/>
        </w:rPr>
        <w:t xml:space="preserve">ers took part </w:t>
      </w:r>
      <w:r w:rsidR="00C064F0">
        <w:rPr>
          <w:lang w:val="en-GB"/>
        </w:rPr>
        <w:t>in</w:t>
      </w:r>
      <w:r w:rsidR="006C163D">
        <w:rPr>
          <w:lang w:val="en-GB"/>
        </w:rPr>
        <w:t xml:space="preserve"> this survey (</w:t>
      </w:r>
      <w:r w:rsidR="00C064F0">
        <w:rPr>
          <w:lang w:val="en-GB"/>
        </w:rPr>
        <w:t xml:space="preserve">which is roughly </w:t>
      </w:r>
      <w:r w:rsidR="006C163D">
        <w:rPr>
          <w:lang w:val="en-GB"/>
        </w:rPr>
        <w:t>1.</w:t>
      </w:r>
      <w:r w:rsidR="00D6729A">
        <w:rPr>
          <w:lang w:val="en-GB"/>
        </w:rPr>
        <w:t>2 % of total Czec</w:t>
      </w:r>
      <w:r w:rsidR="006C163D">
        <w:rPr>
          <w:lang w:val="en-GB"/>
        </w:rPr>
        <w:t xml:space="preserve">h beekeepers), </w:t>
      </w:r>
      <w:r w:rsidR="00C064F0">
        <w:rPr>
          <w:lang w:val="en-GB"/>
        </w:rPr>
        <w:t xml:space="preserve">in total </w:t>
      </w:r>
      <w:r w:rsidR="006C163D">
        <w:rPr>
          <w:lang w:val="en-GB"/>
        </w:rPr>
        <w:t xml:space="preserve">10458 colonies were </w:t>
      </w:r>
      <w:r w:rsidR="00D6729A">
        <w:rPr>
          <w:lang w:val="en-GB"/>
        </w:rPr>
        <w:t>included in the survey. Participating beekeepers were from various parts of the Czech Republic</w:t>
      </w:r>
      <w:r w:rsidR="00C064F0">
        <w:rPr>
          <w:lang w:val="en-GB"/>
        </w:rPr>
        <w:t xml:space="preserve"> (see Fig. 1 for geographic distribution)</w:t>
      </w:r>
      <w:r w:rsidR="00D6729A">
        <w:rPr>
          <w:lang w:val="en-GB"/>
        </w:rPr>
        <w:t xml:space="preserve">. </w:t>
      </w:r>
      <w:r w:rsidR="00AB749D">
        <w:rPr>
          <w:lang w:val="en-GB"/>
        </w:rPr>
        <w:t xml:space="preserve">Obtained data were </w:t>
      </w:r>
      <w:r w:rsidR="00C064F0">
        <w:rPr>
          <w:lang w:val="en-GB"/>
        </w:rPr>
        <w:t>also</w:t>
      </w:r>
      <w:r w:rsidR="00AB749D">
        <w:rPr>
          <w:lang w:val="en-GB"/>
        </w:rPr>
        <w:t xml:space="preserve"> submitted to the international group COLOSS for general evaluation</w:t>
      </w:r>
      <w:r w:rsidR="00C064F0">
        <w:rPr>
          <w:lang w:val="en-GB"/>
        </w:rPr>
        <w:t xml:space="preserve"> and a press release</w:t>
      </w:r>
      <w:r w:rsidR="00AB749D">
        <w:rPr>
          <w:lang w:val="en-GB"/>
        </w:rPr>
        <w:t>. The Czech data are included in the survey which was done in Europe and also in some non-Europe</w:t>
      </w:r>
      <w:r w:rsidR="00C064F0">
        <w:rPr>
          <w:lang w:val="en-GB"/>
        </w:rPr>
        <w:t>an</w:t>
      </w:r>
      <w:r w:rsidR="00AB749D">
        <w:rPr>
          <w:lang w:val="en-GB"/>
        </w:rPr>
        <w:t xml:space="preserve"> countries. COLOSS published </w:t>
      </w:r>
      <w:r w:rsidR="00C064F0">
        <w:rPr>
          <w:lang w:val="en-GB"/>
        </w:rPr>
        <w:t xml:space="preserve">a </w:t>
      </w:r>
      <w:r w:rsidR="00AB749D">
        <w:rPr>
          <w:lang w:val="en-GB"/>
        </w:rPr>
        <w:t xml:space="preserve">press release with these results </w:t>
      </w:r>
      <w:r w:rsidR="00C064F0">
        <w:rPr>
          <w:lang w:val="en-GB"/>
        </w:rPr>
        <w:t xml:space="preserve">in July 2014 </w:t>
      </w:r>
      <w:r w:rsidR="00AB749D">
        <w:rPr>
          <w:lang w:val="en-GB"/>
        </w:rPr>
        <w:t>and a scientific report is under preparation</w:t>
      </w:r>
      <w:r w:rsidR="006C163D">
        <w:rPr>
          <w:lang w:val="en-GB"/>
        </w:rPr>
        <w:t xml:space="preserve"> by the research group</w:t>
      </w:r>
      <w:r w:rsidR="00AB749D">
        <w:rPr>
          <w:lang w:val="en-GB"/>
        </w:rPr>
        <w:t xml:space="preserve">. </w:t>
      </w:r>
    </w:p>
    <w:p w:rsidR="00F43784" w:rsidRDefault="00F43784" w:rsidP="00EB28CB">
      <w:pPr>
        <w:pStyle w:val="Default"/>
        <w:rPr>
          <w:sz w:val="23"/>
          <w:szCs w:val="23"/>
          <w:lang w:val="en-GB"/>
        </w:rPr>
      </w:pPr>
    </w:p>
    <w:p w:rsidR="00F43784" w:rsidRPr="000A2DB6" w:rsidRDefault="00F43784" w:rsidP="00EB28CB">
      <w:pPr>
        <w:pStyle w:val="Default"/>
        <w:rPr>
          <w:sz w:val="23"/>
          <w:szCs w:val="23"/>
          <w:lang w:val="en-GB"/>
        </w:rPr>
      </w:pPr>
      <w:r>
        <w:rPr>
          <w:noProof/>
          <w:lang w:eastAsia="cs-CZ"/>
        </w:rPr>
        <w:drawing>
          <wp:inline distT="0" distB="0" distL="0" distR="0" wp14:anchorId="1C44E136" wp14:editId="4BC2B125">
            <wp:extent cx="5756444" cy="263188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12690" b="13452"/>
                    <a:stretch/>
                  </pic:blipFill>
                  <pic:spPr bwMode="auto">
                    <a:xfrm>
                      <a:off x="0" y="0"/>
                      <a:ext cx="5760720" cy="2633836"/>
                    </a:xfrm>
                    <a:prstGeom prst="rect">
                      <a:avLst/>
                    </a:prstGeom>
                    <a:ln>
                      <a:noFill/>
                    </a:ln>
                    <a:extLst>
                      <a:ext uri="{53640926-AAD7-44D8-BBD7-CCE9431645EC}">
                        <a14:shadowObscured xmlns:a14="http://schemas.microsoft.com/office/drawing/2010/main"/>
                      </a:ext>
                    </a:extLst>
                  </pic:spPr>
                </pic:pic>
              </a:graphicData>
            </a:graphic>
          </wp:inline>
        </w:drawing>
      </w:r>
    </w:p>
    <w:p w:rsidR="00C66CBA" w:rsidRDefault="00F43784" w:rsidP="00EB28CB">
      <w:pPr>
        <w:rPr>
          <w:lang w:val="en-GB"/>
        </w:rPr>
      </w:pPr>
      <w:r>
        <w:rPr>
          <w:lang w:val="en-GB"/>
        </w:rPr>
        <w:t>Fig. 1: Distribution of participating beekeepers in the Czech survey, each dot represent</w:t>
      </w:r>
      <w:r w:rsidR="002A475F">
        <w:rPr>
          <w:lang w:val="en-GB"/>
        </w:rPr>
        <w:t>s</w:t>
      </w:r>
      <w:r>
        <w:rPr>
          <w:lang w:val="en-GB"/>
        </w:rPr>
        <w:t xml:space="preserve"> </w:t>
      </w:r>
      <w:r w:rsidR="00C064F0">
        <w:rPr>
          <w:lang w:val="en-GB"/>
        </w:rPr>
        <w:t xml:space="preserve">at least </w:t>
      </w:r>
      <w:r>
        <w:rPr>
          <w:lang w:val="en-GB"/>
        </w:rPr>
        <w:t>one beekeeper (participant)</w:t>
      </w:r>
      <w:r w:rsidR="00C064F0">
        <w:rPr>
          <w:lang w:val="en-GB"/>
        </w:rPr>
        <w:t xml:space="preserve"> in our study</w:t>
      </w:r>
      <w:r>
        <w:rPr>
          <w:lang w:val="en-GB"/>
        </w:rPr>
        <w:t>.</w:t>
      </w:r>
    </w:p>
    <w:p w:rsidR="00F41D21" w:rsidRDefault="00F41D21" w:rsidP="002E3BAA">
      <w:pPr>
        <w:jc w:val="center"/>
        <w:rPr>
          <w:lang w:val="en-GB"/>
        </w:rPr>
      </w:pPr>
      <w:r w:rsidRPr="00F41D21">
        <w:rPr>
          <w:noProof/>
          <w:lang w:eastAsia="cs-CZ"/>
        </w:rPr>
        <w:lastRenderedPageBreak/>
        <w:drawing>
          <wp:inline distT="0" distB="0" distL="0" distR="0" wp14:anchorId="0DAD8C40" wp14:editId="55EA2813">
            <wp:extent cx="4206240" cy="2226365"/>
            <wp:effectExtent l="0" t="0" r="381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3BAA" w:rsidRPr="002E3BAA" w:rsidRDefault="002E3BAA" w:rsidP="002E3BAA">
      <w:pPr>
        <w:jc w:val="left"/>
      </w:pPr>
      <w:r>
        <w:rPr>
          <w:lang w:val="en-GB"/>
        </w:rPr>
        <w:t xml:space="preserve">Fig. 2: </w:t>
      </w:r>
      <w:r w:rsidR="006C163D" w:rsidRPr="00C064F0">
        <w:rPr>
          <w:lang w:val="en-US"/>
        </w:rPr>
        <w:t xml:space="preserve">Winter loss rate (and </w:t>
      </w:r>
      <w:r w:rsidRPr="00C064F0">
        <w:rPr>
          <w:lang w:val="en-US"/>
        </w:rPr>
        <w:t xml:space="preserve">95% confidence interval) of honey bee colonies in Austria (red) and </w:t>
      </w:r>
      <w:r w:rsidRPr="002E3BAA">
        <w:t xml:space="preserve">the </w:t>
      </w:r>
      <w:r w:rsidRPr="00C064F0">
        <w:rPr>
          <w:lang w:val="en-US"/>
        </w:rPr>
        <w:t>Czech Republic (blue).</w:t>
      </w:r>
    </w:p>
    <w:p w:rsidR="002E3BAA" w:rsidRDefault="002E3BAA" w:rsidP="002E3BAA">
      <w:pPr>
        <w:jc w:val="left"/>
        <w:rPr>
          <w:lang w:val="en-GB"/>
        </w:rPr>
      </w:pPr>
    </w:p>
    <w:p w:rsidR="006A36C5" w:rsidRDefault="00BD3787" w:rsidP="00D85CA2">
      <w:pPr>
        <w:rPr>
          <w:lang w:val="en-GB"/>
        </w:rPr>
      </w:pPr>
      <w:r>
        <w:rPr>
          <w:lang w:val="en-GB"/>
        </w:rPr>
        <w:t xml:space="preserve">Robert </w:t>
      </w:r>
      <w:proofErr w:type="spellStart"/>
      <w:r>
        <w:rPr>
          <w:lang w:val="en-GB"/>
        </w:rPr>
        <w:t>Brodschneider</w:t>
      </w:r>
      <w:proofErr w:type="spellEnd"/>
      <w:r>
        <w:rPr>
          <w:lang w:val="en-GB"/>
        </w:rPr>
        <w:t xml:space="preserve"> </w:t>
      </w:r>
      <w:r w:rsidR="00710D05">
        <w:rPr>
          <w:lang w:val="en-GB"/>
        </w:rPr>
        <w:t>from Karl-</w:t>
      </w:r>
      <w:proofErr w:type="spellStart"/>
      <w:r w:rsidR="00710D05">
        <w:rPr>
          <w:lang w:val="en-GB"/>
        </w:rPr>
        <w:t>Franzens</w:t>
      </w:r>
      <w:proofErr w:type="spellEnd"/>
      <w:r w:rsidR="00710D05">
        <w:rPr>
          <w:lang w:val="en-GB"/>
        </w:rPr>
        <w:t xml:space="preserve"> </w:t>
      </w:r>
      <w:proofErr w:type="spellStart"/>
      <w:r w:rsidR="00710D05">
        <w:rPr>
          <w:lang w:val="en-GB"/>
        </w:rPr>
        <w:t>Universität</w:t>
      </w:r>
      <w:proofErr w:type="spellEnd"/>
      <w:r>
        <w:rPr>
          <w:lang w:val="en-GB"/>
        </w:rPr>
        <w:t xml:space="preserve"> Graz vi</w:t>
      </w:r>
      <w:r w:rsidR="00695BA5">
        <w:rPr>
          <w:lang w:val="en-GB"/>
        </w:rPr>
        <w:t>sited the Czech team in Olomouc</w:t>
      </w:r>
      <w:r w:rsidR="00710D05">
        <w:rPr>
          <w:lang w:val="en-GB"/>
        </w:rPr>
        <w:t xml:space="preserve"> in 10 – 13 July 2014</w:t>
      </w:r>
      <w:r w:rsidR="00695BA5">
        <w:rPr>
          <w:lang w:val="en-GB"/>
        </w:rPr>
        <w:t>. During their visit the results from the winter survey were analysed and discussed. Outcomes were prepa</w:t>
      </w:r>
      <w:r w:rsidR="00D6615E">
        <w:rPr>
          <w:lang w:val="en-GB"/>
        </w:rPr>
        <w:t xml:space="preserve">red for publication during the </w:t>
      </w:r>
      <w:r w:rsidR="00FD6903">
        <w:rPr>
          <w:lang w:val="en-GB"/>
        </w:rPr>
        <w:t>COLOSS conference</w:t>
      </w:r>
      <w:r w:rsidR="00695BA5">
        <w:rPr>
          <w:lang w:val="en-GB"/>
        </w:rPr>
        <w:t xml:space="preserve"> in Murcia</w:t>
      </w:r>
      <w:r w:rsidR="00FD6903">
        <w:rPr>
          <w:lang w:val="en-GB"/>
        </w:rPr>
        <w:t xml:space="preserve"> 6 - 8 September 2014</w:t>
      </w:r>
      <w:r w:rsidR="00695BA5">
        <w:rPr>
          <w:lang w:val="en-GB"/>
        </w:rPr>
        <w:t xml:space="preserve">, Spain. </w:t>
      </w:r>
      <w:r w:rsidR="00D6615E">
        <w:rPr>
          <w:lang w:val="en-GB"/>
        </w:rPr>
        <w:t xml:space="preserve">Questionnaire for a follow up study was translated from German language into the Czech and </w:t>
      </w:r>
      <w:r w:rsidR="00605C30">
        <w:rPr>
          <w:lang w:val="en-GB"/>
        </w:rPr>
        <w:t xml:space="preserve">the on-line survey was </w:t>
      </w:r>
      <w:r w:rsidR="00D6615E">
        <w:rPr>
          <w:lang w:val="en-GB"/>
        </w:rPr>
        <w:t>prepared for invited beekeepers. A</w:t>
      </w:r>
      <w:r w:rsidR="00605C30">
        <w:rPr>
          <w:lang w:val="en-GB"/>
        </w:rPr>
        <w:t xml:space="preserve"> four</w:t>
      </w:r>
      <w:r w:rsidR="00D6615E">
        <w:rPr>
          <w:lang w:val="en-GB"/>
        </w:rPr>
        <w:t xml:space="preserve"> hours long seminar about honey bee nutrition</w:t>
      </w:r>
      <w:r w:rsidR="006A36C5">
        <w:rPr>
          <w:lang w:val="en-GB"/>
        </w:rPr>
        <w:t xml:space="preserve"> was give</w:t>
      </w:r>
      <w:r w:rsidR="00C064F0">
        <w:rPr>
          <w:lang w:val="en-GB"/>
        </w:rPr>
        <w:t>n</w:t>
      </w:r>
      <w:r w:rsidR="006A36C5">
        <w:rPr>
          <w:lang w:val="en-GB"/>
        </w:rPr>
        <w:t xml:space="preserve"> by the Austrian partner</w:t>
      </w:r>
      <w:r w:rsidR="00D6615E">
        <w:rPr>
          <w:lang w:val="en-GB"/>
        </w:rPr>
        <w:t xml:space="preserve"> in Olomouc. </w:t>
      </w:r>
      <w:r w:rsidR="006A36C5">
        <w:rPr>
          <w:lang w:val="en-GB"/>
        </w:rPr>
        <w:t>Vets, academic researchers, student</w:t>
      </w:r>
      <w:r w:rsidR="00C064F0">
        <w:rPr>
          <w:lang w:val="en-GB"/>
        </w:rPr>
        <w:t>s</w:t>
      </w:r>
      <w:r w:rsidR="006A36C5">
        <w:rPr>
          <w:lang w:val="en-GB"/>
        </w:rPr>
        <w:t xml:space="preserve"> and beekeepers visited this seminar. </w:t>
      </w:r>
    </w:p>
    <w:p w:rsidR="00DD3B9A" w:rsidRDefault="00DD3B9A" w:rsidP="00DD3B9A">
      <w:pPr>
        <w:jc w:val="center"/>
        <w:rPr>
          <w:lang w:val="en-GB"/>
        </w:rPr>
      </w:pPr>
      <w:r>
        <w:rPr>
          <w:noProof/>
          <w:lang w:eastAsia="cs-CZ"/>
        </w:rPr>
        <w:drawing>
          <wp:inline distT="0" distB="0" distL="0" distR="0">
            <wp:extent cx="4309607" cy="279041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in 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583" cy="2792340"/>
                    </a:xfrm>
                    <a:prstGeom prst="rect">
                      <a:avLst/>
                    </a:prstGeom>
                  </pic:spPr>
                </pic:pic>
              </a:graphicData>
            </a:graphic>
          </wp:inline>
        </w:drawing>
      </w:r>
    </w:p>
    <w:p w:rsidR="00DD3B9A" w:rsidRDefault="00DD3B9A" w:rsidP="00DD3B9A">
      <w:pPr>
        <w:jc w:val="left"/>
        <w:rPr>
          <w:lang w:val="en-GB"/>
        </w:rPr>
      </w:pPr>
      <w:r>
        <w:rPr>
          <w:lang w:val="en-GB"/>
        </w:rPr>
        <w:t xml:space="preserve">Fig. 3: Robert </w:t>
      </w:r>
      <w:proofErr w:type="spellStart"/>
      <w:r>
        <w:rPr>
          <w:lang w:val="en-GB"/>
        </w:rPr>
        <w:t>Brodschneider</w:t>
      </w:r>
      <w:proofErr w:type="spellEnd"/>
      <w:r>
        <w:rPr>
          <w:lang w:val="en-GB"/>
        </w:rPr>
        <w:t xml:space="preserve"> during</w:t>
      </w:r>
      <w:r w:rsidR="00A73E3D">
        <w:rPr>
          <w:lang w:val="en-GB"/>
        </w:rPr>
        <w:t xml:space="preserve"> the seminar at </w:t>
      </w:r>
      <w:proofErr w:type="spellStart"/>
      <w:r w:rsidR="00A73E3D">
        <w:rPr>
          <w:lang w:val="en-GB"/>
        </w:rPr>
        <w:t>Palacký</w:t>
      </w:r>
      <w:proofErr w:type="spellEnd"/>
      <w:r>
        <w:rPr>
          <w:lang w:val="en-GB"/>
        </w:rPr>
        <w:t xml:space="preserve"> University in Olomouc</w:t>
      </w:r>
      <w:r w:rsidR="00C064F0">
        <w:rPr>
          <w:lang w:val="en-GB"/>
        </w:rPr>
        <w:t xml:space="preserve"> in July 2014</w:t>
      </w:r>
      <w:r>
        <w:rPr>
          <w:lang w:val="en-GB"/>
        </w:rPr>
        <w:t xml:space="preserve">. </w:t>
      </w:r>
    </w:p>
    <w:p w:rsidR="002A3A35" w:rsidRDefault="002A3A35" w:rsidP="00D85CA2">
      <w:pPr>
        <w:rPr>
          <w:lang w:val="en-GB"/>
        </w:rPr>
      </w:pPr>
      <w:r>
        <w:rPr>
          <w:lang w:val="en-GB"/>
        </w:rPr>
        <w:t xml:space="preserve">The follow up survey </w:t>
      </w:r>
      <w:r w:rsidR="00C064F0">
        <w:rPr>
          <w:lang w:val="en-GB"/>
        </w:rPr>
        <w:t xml:space="preserve">on renewal of honey bee livestock </w:t>
      </w:r>
      <w:r>
        <w:rPr>
          <w:lang w:val="en-GB"/>
        </w:rPr>
        <w:t xml:space="preserve">was running </w:t>
      </w:r>
      <w:r w:rsidR="00C064F0">
        <w:rPr>
          <w:lang w:val="en-GB"/>
        </w:rPr>
        <w:t>in</w:t>
      </w:r>
      <w:r>
        <w:rPr>
          <w:lang w:val="en-GB"/>
        </w:rPr>
        <w:t xml:space="preserve"> October in </w:t>
      </w:r>
      <w:r w:rsidR="00A73E3D">
        <w:rPr>
          <w:lang w:val="en-GB"/>
        </w:rPr>
        <w:t xml:space="preserve">parallel </w:t>
      </w:r>
      <w:r w:rsidR="00C064F0">
        <w:rPr>
          <w:lang w:val="en-GB"/>
        </w:rPr>
        <w:t xml:space="preserve">in </w:t>
      </w:r>
      <w:r>
        <w:rPr>
          <w:lang w:val="en-GB"/>
        </w:rPr>
        <w:t xml:space="preserve">Austria and in the Czech Republic. Beekeepers which answered the winter survey and agreed </w:t>
      </w:r>
      <w:r>
        <w:rPr>
          <w:lang w:val="en-GB"/>
        </w:rPr>
        <w:lastRenderedPageBreak/>
        <w:t xml:space="preserve">with the participation in summer survey were </w:t>
      </w:r>
      <w:r w:rsidR="00C064F0">
        <w:rPr>
          <w:lang w:val="en-GB"/>
        </w:rPr>
        <w:t>invited</w:t>
      </w:r>
      <w:r>
        <w:rPr>
          <w:lang w:val="en-GB"/>
        </w:rPr>
        <w:t xml:space="preserve"> for the follow up survey by e-mail.</w:t>
      </w:r>
      <w:r w:rsidR="00C064F0">
        <w:rPr>
          <w:lang w:val="en-GB"/>
        </w:rPr>
        <w:t xml:space="preserve"> </w:t>
      </w:r>
      <w:r w:rsidR="002E722F">
        <w:rPr>
          <w:lang w:val="en-GB"/>
        </w:rPr>
        <w:t>Answers w</w:t>
      </w:r>
      <w:r w:rsidR="00A73E3D">
        <w:rPr>
          <w:lang w:val="en-GB"/>
        </w:rPr>
        <w:t>ere collected by our partner</w:t>
      </w:r>
      <w:r w:rsidR="002E722F">
        <w:rPr>
          <w:lang w:val="en-GB"/>
        </w:rPr>
        <w:t xml:space="preserve"> in Graz</w:t>
      </w:r>
      <w:r w:rsidR="00C064F0">
        <w:rPr>
          <w:lang w:val="en-GB"/>
        </w:rPr>
        <w:t xml:space="preserve"> using </w:t>
      </w:r>
      <w:proofErr w:type="spellStart"/>
      <w:r w:rsidR="00C064F0">
        <w:rPr>
          <w:lang w:val="en-GB"/>
        </w:rPr>
        <w:t>Limesurvey</w:t>
      </w:r>
      <w:proofErr w:type="spellEnd"/>
      <w:r w:rsidR="00C064F0">
        <w:rPr>
          <w:lang w:val="en-GB"/>
        </w:rPr>
        <w:t>-software</w:t>
      </w:r>
      <w:r w:rsidR="002E722F">
        <w:rPr>
          <w:lang w:val="en-GB"/>
        </w:rPr>
        <w:t xml:space="preserve">. </w:t>
      </w:r>
      <w:r w:rsidR="003C2FF8">
        <w:rPr>
          <w:lang w:val="en-GB"/>
        </w:rPr>
        <w:t>341 of totally asked beekeepers</w:t>
      </w:r>
      <w:r w:rsidR="00254E52">
        <w:rPr>
          <w:lang w:val="en-GB"/>
        </w:rPr>
        <w:t xml:space="preserve"> (78.</w:t>
      </w:r>
      <w:r w:rsidR="003C2FF8">
        <w:rPr>
          <w:lang w:val="en-GB"/>
        </w:rPr>
        <w:t>9 %; 432) answered the questionnaire in the Czech Republic. 381 of totally asked beekeepers</w:t>
      </w:r>
      <w:r w:rsidR="00254E52">
        <w:rPr>
          <w:lang w:val="en-GB"/>
        </w:rPr>
        <w:t xml:space="preserve"> (78.</w:t>
      </w:r>
      <w:r w:rsidR="003C2FF8">
        <w:rPr>
          <w:lang w:val="en-GB"/>
        </w:rPr>
        <w:t>1 %; 488) answered the questionnaire in Austria.</w:t>
      </w:r>
    </w:p>
    <w:p w:rsidR="00F0286B" w:rsidRDefault="00E0740A" w:rsidP="00D85CA2">
      <w:pPr>
        <w:rPr>
          <w:lang w:val="en-GB"/>
        </w:rPr>
      </w:pPr>
      <w:proofErr w:type="spellStart"/>
      <w:r>
        <w:rPr>
          <w:lang w:val="en-GB"/>
        </w:rPr>
        <w:t>Jiří</w:t>
      </w:r>
      <w:proofErr w:type="spellEnd"/>
      <w:r>
        <w:rPr>
          <w:lang w:val="en-GB"/>
        </w:rPr>
        <w:t xml:space="preserve"> </w:t>
      </w:r>
      <w:proofErr w:type="spellStart"/>
      <w:r>
        <w:rPr>
          <w:lang w:val="en-GB"/>
        </w:rPr>
        <w:t>Danihlí</w:t>
      </w:r>
      <w:r w:rsidR="00F0286B">
        <w:rPr>
          <w:lang w:val="en-GB"/>
        </w:rPr>
        <w:t>k</w:t>
      </w:r>
      <w:proofErr w:type="spellEnd"/>
      <w:r w:rsidR="00F0286B">
        <w:rPr>
          <w:lang w:val="en-GB"/>
        </w:rPr>
        <w:t xml:space="preserve"> travelled to Graz at the beginning of November (</w:t>
      </w:r>
      <w:r w:rsidR="00C064F0">
        <w:rPr>
          <w:lang w:val="en-GB"/>
        </w:rPr>
        <w:t>2</w:t>
      </w:r>
      <w:r w:rsidR="00F0286B">
        <w:rPr>
          <w:lang w:val="en-GB"/>
        </w:rPr>
        <w:t xml:space="preserve"> – 5 November) to analy</w:t>
      </w:r>
      <w:r w:rsidR="00C064F0">
        <w:rPr>
          <w:lang w:val="en-GB"/>
        </w:rPr>
        <w:t>s</w:t>
      </w:r>
      <w:r w:rsidR="00F0286B">
        <w:rPr>
          <w:lang w:val="en-GB"/>
        </w:rPr>
        <w:t xml:space="preserve">e the data together with Robert </w:t>
      </w:r>
      <w:proofErr w:type="spellStart"/>
      <w:r w:rsidR="00F0286B">
        <w:rPr>
          <w:lang w:val="en-GB"/>
        </w:rPr>
        <w:t>Brodschneider</w:t>
      </w:r>
      <w:proofErr w:type="spellEnd"/>
      <w:r w:rsidR="00F0286B">
        <w:rPr>
          <w:lang w:val="en-GB"/>
        </w:rPr>
        <w:t>.</w:t>
      </w:r>
      <w:r w:rsidR="003C2FF8">
        <w:rPr>
          <w:lang w:val="en-GB"/>
        </w:rPr>
        <w:t xml:space="preserve"> C</w:t>
      </w:r>
      <w:r w:rsidR="001D7071">
        <w:rPr>
          <w:lang w:val="en-GB"/>
        </w:rPr>
        <w:t xml:space="preserve">omparisons and graphs were </w:t>
      </w:r>
      <w:r w:rsidR="003C2FF8">
        <w:rPr>
          <w:lang w:val="en-GB"/>
        </w:rPr>
        <w:t xml:space="preserve">preliminarily </w:t>
      </w:r>
      <w:r w:rsidR="001D7071">
        <w:rPr>
          <w:lang w:val="en-GB"/>
        </w:rPr>
        <w:t xml:space="preserve">prepared for publication in an international beekeeping journal. The Czech data </w:t>
      </w:r>
      <w:r w:rsidR="00D87E6D">
        <w:rPr>
          <w:lang w:val="en-GB"/>
        </w:rPr>
        <w:t xml:space="preserve">from the winter loss survey </w:t>
      </w:r>
      <w:r w:rsidR="001D7071">
        <w:rPr>
          <w:lang w:val="en-GB"/>
        </w:rPr>
        <w:t xml:space="preserve">were finalized and prepared for </w:t>
      </w:r>
      <w:r w:rsidR="00D87E6D">
        <w:rPr>
          <w:lang w:val="en-GB"/>
        </w:rPr>
        <w:t xml:space="preserve">a </w:t>
      </w:r>
      <w:r w:rsidR="001D7071">
        <w:rPr>
          <w:lang w:val="en-GB"/>
        </w:rPr>
        <w:t xml:space="preserve">publication in Czech beekeeping journal </w:t>
      </w:r>
      <w:r>
        <w:rPr>
          <w:lang w:val="en-GB"/>
        </w:rPr>
        <w:t>“</w:t>
      </w:r>
      <w:proofErr w:type="spellStart"/>
      <w:r>
        <w:rPr>
          <w:lang w:val="en-GB"/>
        </w:rPr>
        <w:t>Moderní</w:t>
      </w:r>
      <w:proofErr w:type="spellEnd"/>
      <w:r>
        <w:rPr>
          <w:lang w:val="en-GB"/>
        </w:rPr>
        <w:t xml:space="preserve"> </w:t>
      </w:r>
      <w:proofErr w:type="spellStart"/>
      <w:r>
        <w:rPr>
          <w:lang w:val="en-GB"/>
        </w:rPr>
        <w:t>včelař</w:t>
      </w:r>
      <w:proofErr w:type="spellEnd"/>
      <w:r>
        <w:rPr>
          <w:lang w:val="en-GB"/>
        </w:rPr>
        <w:t xml:space="preserve">” </w:t>
      </w:r>
      <w:r w:rsidR="001D7071">
        <w:rPr>
          <w:lang w:val="en-GB"/>
        </w:rPr>
        <w:t xml:space="preserve">in the last issue in 2014. </w:t>
      </w:r>
    </w:p>
    <w:p w:rsidR="002A475F" w:rsidRDefault="00AB749D" w:rsidP="00D85CA2">
      <w:pPr>
        <w:rPr>
          <w:lang w:val="en-GB"/>
        </w:rPr>
      </w:pPr>
      <w:r>
        <w:rPr>
          <w:lang w:val="en-GB"/>
        </w:rPr>
        <w:t xml:space="preserve">This project brought the cooperation between Czech and Austrian partner in honey bee research field. </w:t>
      </w:r>
      <w:r w:rsidR="001F2C39">
        <w:rPr>
          <w:lang w:val="en-GB"/>
        </w:rPr>
        <w:t xml:space="preserve">The international survey in honey bee colony losses was for the first time done in the Czech Republic and the country is now a participating in the international work group. Thanks to the colleagues in Graz </w:t>
      </w:r>
      <w:r w:rsidR="00D87E6D">
        <w:rPr>
          <w:lang w:val="en-GB"/>
        </w:rPr>
        <w:t xml:space="preserve">it </w:t>
      </w:r>
      <w:r w:rsidR="001F2C39">
        <w:rPr>
          <w:lang w:val="en-GB"/>
        </w:rPr>
        <w:t xml:space="preserve">was possible to collect data of </w:t>
      </w:r>
      <w:r w:rsidR="00AF200E">
        <w:rPr>
          <w:lang w:val="en-GB"/>
        </w:rPr>
        <w:t>the Czech colony losses during winter 2013/2014</w:t>
      </w:r>
      <w:r w:rsidR="001F2C39">
        <w:rPr>
          <w:lang w:val="en-GB"/>
        </w:rPr>
        <w:t xml:space="preserve"> and Czech experts were introduced into methodology of analy</w:t>
      </w:r>
      <w:r w:rsidR="00D87E6D">
        <w:rPr>
          <w:lang w:val="en-GB"/>
        </w:rPr>
        <w:t>s</w:t>
      </w:r>
      <w:r w:rsidR="001F2C39">
        <w:rPr>
          <w:lang w:val="en-GB"/>
        </w:rPr>
        <w:t>ing the data.</w:t>
      </w:r>
      <w:r w:rsidR="002A475F">
        <w:rPr>
          <w:lang w:val="en-GB"/>
        </w:rPr>
        <w:t xml:space="preserve"> </w:t>
      </w:r>
      <w:r w:rsidR="00D87E6D">
        <w:rPr>
          <w:lang w:val="en-GB"/>
        </w:rPr>
        <w:t xml:space="preserve">The comparison of Czech and Austrian results with each other and also other datasets that was obtained the same way shows that honey bee colony losses were low in general in that particular year (2013/14). In Czech Republic, colony losses were very low (6.6%), also in comparison with other countries. The loss rate in Austria was 12.8% and of all participating countries in the COLOSS survey it was about 9% in that winter. </w:t>
      </w:r>
      <w:r w:rsidR="002A475F">
        <w:rPr>
          <w:lang w:val="en-GB"/>
        </w:rPr>
        <w:t>The f</w:t>
      </w:r>
      <w:r w:rsidR="00AF200E">
        <w:rPr>
          <w:lang w:val="en-GB"/>
        </w:rPr>
        <w:t xml:space="preserve">ollow up study gave the information about colony renewal in the Czech Republic and also in </w:t>
      </w:r>
      <w:proofErr w:type="gramStart"/>
      <w:r w:rsidR="00AF200E">
        <w:rPr>
          <w:lang w:val="en-GB"/>
        </w:rPr>
        <w:t>Au</w:t>
      </w:r>
      <w:r w:rsidR="00686B52">
        <w:rPr>
          <w:lang w:val="en-GB"/>
        </w:rPr>
        <w:t>s</w:t>
      </w:r>
      <w:r w:rsidR="00AF200E">
        <w:rPr>
          <w:lang w:val="en-GB"/>
        </w:rPr>
        <w:t>tria</w:t>
      </w:r>
      <w:r w:rsidR="00E0740A">
        <w:rPr>
          <w:lang w:val="en-GB"/>
        </w:rPr>
        <w:t>,</w:t>
      </w:r>
      <w:proofErr w:type="gramEnd"/>
      <w:r w:rsidR="00E0740A">
        <w:rPr>
          <w:lang w:val="en-GB"/>
        </w:rPr>
        <w:t xml:space="preserve"> results </w:t>
      </w:r>
      <w:r w:rsidR="00D87E6D">
        <w:rPr>
          <w:lang w:val="en-GB"/>
        </w:rPr>
        <w:t>will be prepared</w:t>
      </w:r>
      <w:r w:rsidR="00E0740A">
        <w:rPr>
          <w:lang w:val="en-GB"/>
        </w:rPr>
        <w:t xml:space="preserve"> for publication in both countries.</w:t>
      </w:r>
      <w:r w:rsidR="00D87E6D">
        <w:rPr>
          <w:lang w:val="en-GB"/>
        </w:rPr>
        <w:t xml:space="preserve"> In general, </w:t>
      </w:r>
      <w:proofErr w:type="spellStart"/>
      <w:r w:rsidR="00D87E6D">
        <w:rPr>
          <w:lang w:val="en-GB"/>
        </w:rPr>
        <w:t>beekeepeing</w:t>
      </w:r>
      <w:proofErr w:type="spellEnd"/>
      <w:r w:rsidR="00D87E6D">
        <w:rPr>
          <w:lang w:val="en-GB"/>
        </w:rPr>
        <w:t xml:space="preserve"> by the means of breeding queens is very similar in both countries. Beekeepers produce enough new queens and colonies to not even restore winter losses, but also allow extension of the beekeeping section. </w:t>
      </w:r>
    </w:p>
    <w:p w:rsidR="00AB749D" w:rsidRDefault="002A475F" w:rsidP="00D85CA2">
      <w:pPr>
        <w:rPr>
          <w:lang w:val="en-GB"/>
        </w:rPr>
      </w:pPr>
      <w:r>
        <w:rPr>
          <w:lang w:val="en-GB"/>
        </w:rPr>
        <w:t>The started cooperation between Czech an</w:t>
      </w:r>
      <w:r w:rsidR="00D87E6D">
        <w:rPr>
          <w:lang w:val="en-GB"/>
        </w:rPr>
        <w:t>d Austrian team will be continued</w:t>
      </w:r>
      <w:r>
        <w:rPr>
          <w:lang w:val="en-GB"/>
        </w:rPr>
        <w:t xml:space="preserve"> in </w:t>
      </w:r>
      <w:r w:rsidR="00D87E6D">
        <w:rPr>
          <w:lang w:val="en-GB"/>
        </w:rPr>
        <w:t>the next year</w:t>
      </w:r>
      <w:r>
        <w:rPr>
          <w:lang w:val="en-GB"/>
        </w:rPr>
        <w:t xml:space="preserve"> in honey bee colony losses monitoring</w:t>
      </w:r>
      <w:r w:rsidR="004056AE">
        <w:rPr>
          <w:lang w:val="en-GB"/>
        </w:rPr>
        <w:t xml:space="preserve"> and honey bee immunity research</w:t>
      </w:r>
      <w:r w:rsidR="00D87E6D">
        <w:rPr>
          <w:lang w:val="en-GB"/>
        </w:rPr>
        <w:t>, supported by the AKTION 71p6 “Honey bee colony losses in Austria and the Czech Republic and relation to the bee immune system”</w:t>
      </w:r>
      <w:r>
        <w:rPr>
          <w:lang w:val="en-GB"/>
        </w:rPr>
        <w:t xml:space="preserve">. </w:t>
      </w:r>
    </w:p>
    <w:p w:rsidR="00AF200E" w:rsidRDefault="00AF200E" w:rsidP="00D85CA2">
      <w:pPr>
        <w:rPr>
          <w:lang w:val="en-GB"/>
        </w:rPr>
      </w:pPr>
    </w:p>
    <w:p w:rsidR="006A36C5" w:rsidRPr="00FD6903" w:rsidRDefault="006A36C5" w:rsidP="00D85CA2">
      <w:pPr>
        <w:rPr>
          <w:i/>
          <w:lang w:val="en-GB"/>
        </w:rPr>
      </w:pPr>
      <w:r w:rsidRPr="00FD6903">
        <w:rPr>
          <w:i/>
          <w:lang w:val="en-GB"/>
        </w:rPr>
        <w:t>Attachment</w:t>
      </w:r>
      <w:r w:rsidR="00FD6903" w:rsidRPr="00FD6903">
        <w:rPr>
          <w:i/>
          <w:lang w:val="en-GB"/>
        </w:rPr>
        <w:t xml:space="preserve"> 1</w:t>
      </w:r>
      <w:r w:rsidR="00FD6903">
        <w:rPr>
          <w:i/>
          <w:lang w:val="en-GB"/>
        </w:rPr>
        <w:t>: Abstract from the COLOSS</w:t>
      </w:r>
      <w:r w:rsidRPr="00FD6903">
        <w:rPr>
          <w:i/>
          <w:lang w:val="en-GB"/>
        </w:rPr>
        <w:t xml:space="preserve"> </w:t>
      </w:r>
      <w:r w:rsidR="00FD6903">
        <w:rPr>
          <w:i/>
          <w:lang w:val="en-GB"/>
        </w:rPr>
        <w:t>conference</w:t>
      </w:r>
      <w:r w:rsidRPr="00FD6903">
        <w:rPr>
          <w:i/>
          <w:lang w:val="en-GB"/>
        </w:rPr>
        <w:t xml:space="preserve"> in Murcia 6 – 8 September 2014</w:t>
      </w:r>
    </w:p>
    <w:p w:rsidR="003C2FF8" w:rsidRDefault="003C2FF8" w:rsidP="00D85CA2">
      <w:pPr>
        <w:rPr>
          <w:i/>
          <w:lang w:val="en-GB"/>
        </w:rPr>
      </w:pPr>
      <w:r w:rsidRPr="00FD6903">
        <w:rPr>
          <w:i/>
          <w:lang w:val="en-GB"/>
        </w:rPr>
        <w:t xml:space="preserve">Attachment </w:t>
      </w:r>
      <w:r>
        <w:rPr>
          <w:i/>
          <w:lang w:val="en-GB"/>
        </w:rPr>
        <w:t>2: Presented poster from the COLOSS</w:t>
      </w:r>
      <w:r w:rsidRPr="00FD6903">
        <w:rPr>
          <w:i/>
          <w:lang w:val="en-GB"/>
        </w:rPr>
        <w:t xml:space="preserve"> </w:t>
      </w:r>
      <w:r>
        <w:rPr>
          <w:i/>
          <w:lang w:val="en-GB"/>
        </w:rPr>
        <w:t>conference</w:t>
      </w:r>
      <w:r w:rsidRPr="00FD6903">
        <w:rPr>
          <w:i/>
          <w:lang w:val="en-GB"/>
        </w:rPr>
        <w:t xml:space="preserve"> in Murcia 6 – 8 September 2014</w:t>
      </w:r>
    </w:p>
    <w:p w:rsidR="00AB749D" w:rsidRPr="00DE3CD1" w:rsidRDefault="00AB749D" w:rsidP="00D85CA2">
      <w:pPr>
        <w:rPr>
          <w:i/>
          <w:lang w:val="en-GB"/>
        </w:rPr>
      </w:pPr>
      <w:r w:rsidRPr="00DE3CD1">
        <w:rPr>
          <w:i/>
          <w:lang w:val="en-GB"/>
        </w:rPr>
        <w:t>Attachment 3: COLOSS press release</w:t>
      </w:r>
    </w:p>
    <w:p w:rsidR="008A783B" w:rsidRPr="00DE3CD1" w:rsidRDefault="008A783B" w:rsidP="00D85CA2">
      <w:pPr>
        <w:rPr>
          <w:i/>
          <w:sz w:val="23"/>
          <w:szCs w:val="23"/>
          <w:lang w:val="en-GB"/>
        </w:rPr>
      </w:pPr>
      <w:r w:rsidRPr="00DE3CD1">
        <w:rPr>
          <w:i/>
          <w:lang w:val="en-GB"/>
        </w:rPr>
        <w:t xml:space="preserve">Attachment 4: </w:t>
      </w:r>
      <w:proofErr w:type="spellStart"/>
      <w:r w:rsidRPr="00DE3CD1">
        <w:rPr>
          <w:i/>
          <w:sz w:val="23"/>
          <w:szCs w:val="23"/>
          <w:lang w:val="en-GB"/>
        </w:rPr>
        <w:t>Český</w:t>
      </w:r>
      <w:proofErr w:type="spellEnd"/>
      <w:r w:rsidRPr="00DE3CD1">
        <w:rPr>
          <w:i/>
          <w:sz w:val="23"/>
          <w:szCs w:val="23"/>
          <w:lang w:val="en-GB"/>
        </w:rPr>
        <w:t xml:space="preserve"> </w:t>
      </w:r>
      <w:proofErr w:type="spellStart"/>
      <w:r w:rsidRPr="00DE3CD1">
        <w:rPr>
          <w:i/>
          <w:sz w:val="23"/>
          <w:szCs w:val="23"/>
          <w:lang w:val="en-GB"/>
        </w:rPr>
        <w:t>Coloss</w:t>
      </w:r>
      <w:proofErr w:type="spellEnd"/>
      <w:r w:rsidRPr="00DE3CD1">
        <w:rPr>
          <w:i/>
          <w:sz w:val="23"/>
          <w:szCs w:val="23"/>
          <w:lang w:val="en-GB"/>
        </w:rPr>
        <w:t xml:space="preserve"> se </w:t>
      </w:r>
      <w:proofErr w:type="spellStart"/>
      <w:r w:rsidRPr="00DE3CD1">
        <w:rPr>
          <w:i/>
          <w:sz w:val="23"/>
          <w:szCs w:val="23"/>
          <w:lang w:val="en-GB"/>
        </w:rPr>
        <w:t>rozhýbal</w:t>
      </w:r>
      <w:proofErr w:type="spellEnd"/>
      <w:r w:rsidRPr="00DE3CD1">
        <w:rPr>
          <w:i/>
          <w:sz w:val="23"/>
          <w:szCs w:val="23"/>
          <w:lang w:val="en-GB"/>
        </w:rPr>
        <w:t xml:space="preserve">, </w:t>
      </w:r>
      <w:proofErr w:type="spellStart"/>
      <w:r w:rsidRPr="00DE3CD1">
        <w:rPr>
          <w:i/>
          <w:sz w:val="23"/>
          <w:szCs w:val="23"/>
          <w:lang w:val="en-GB"/>
        </w:rPr>
        <w:t>Moderní</w:t>
      </w:r>
      <w:proofErr w:type="spellEnd"/>
      <w:r w:rsidRPr="00DE3CD1">
        <w:rPr>
          <w:i/>
          <w:sz w:val="23"/>
          <w:szCs w:val="23"/>
          <w:lang w:val="en-GB"/>
        </w:rPr>
        <w:t xml:space="preserve"> </w:t>
      </w:r>
      <w:proofErr w:type="spellStart"/>
      <w:r w:rsidRPr="00DE3CD1">
        <w:rPr>
          <w:i/>
          <w:sz w:val="23"/>
          <w:szCs w:val="23"/>
          <w:lang w:val="en-GB"/>
        </w:rPr>
        <w:t>včelař</w:t>
      </w:r>
      <w:proofErr w:type="spellEnd"/>
      <w:r w:rsidRPr="00DE3CD1">
        <w:rPr>
          <w:i/>
          <w:sz w:val="23"/>
          <w:szCs w:val="23"/>
          <w:lang w:val="en-GB"/>
        </w:rPr>
        <w:t xml:space="preserve"> 1/2014</w:t>
      </w:r>
    </w:p>
    <w:p w:rsidR="008A783B" w:rsidRPr="00DE3CD1" w:rsidRDefault="008A783B" w:rsidP="00D85CA2">
      <w:pPr>
        <w:rPr>
          <w:i/>
          <w:lang w:val="en-GB"/>
        </w:rPr>
      </w:pPr>
      <w:r w:rsidRPr="00DE3CD1">
        <w:rPr>
          <w:i/>
          <w:lang w:val="en-GB"/>
        </w:rPr>
        <w:t xml:space="preserve">Attachment 5: </w:t>
      </w:r>
      <w:proofErr w:type="spellStart"/>
      <w:r w:rsidRPr="00DE3CD1">
        <w:rPr>
          <w:i/>
          <w:sz w:val="23"/>
          <w:szCs w:val="23"/>
          <w:lang w:val="en-GB"/>
        </w:rPr>
        <w:t>Pomozte</w:t>
      </w:r>
      <w:proofErr w:type="spellEnd"/>
      <w:r w:rsidRPr="00DE3CD1">
        <w:rPr>
          <w:i/>
          <w:sz w:val="23"/>
          <w:szCs w:val="23"/>
          <w:lang w:val="en-GB"/>
        </w:rPr>
        <w:t xml:space="preserve"> </w:t>
      </w:r>
      <w:proofErr w:type="spellStart"/>
      <w:r w:rsidRPr="00DE3CD1">
        <w:rPr>
          <w:i/>
          <w:sz w:val="23"/>
          <w:szCs w:val="23"/>
          <w:lang w:val="en-GB"/>
        </w:rPr>
        <w:t>zmapovat</w:t>
      </w:r>
      <w:proofErr w:type="spellEnd"/>
      <w:r w:rsidRPr="00DE3CD1">
        <w:rPr>
          <w:i/>
          <w:sz w:val="23"/>
          <w:szCs w:val="23"/>
          <w:lang w:val="en-GB"/>
        </w:rPr>
        <w:t xml:space="preserve"> </w:t>
      </w:r>
      <w:proofErr w:type="spellStart"/>
      <w:r w:rsidRPr="00DE3CD1">
        <w:rPr>
          <w:i/>
          <w:sz w:val="23"/>
          <w:szCs w:val="23"/>
          <w:lang w:val="en-GB"/>
        </w:rPr>
        <w:t>počty</w:t>
      </w:r>
      <w:proofErr w:type="spellEnd"/>
      <w:r w:rsidRPr="00DE3CD1">
        <w:rPr>
          <w:i/>
          <w:sz w:val="23"/>
          <w:szCs w:val="23"/>
          <w:lang w:val="en-GB"/>
        </w:rPr>
        <w:t xml:space="preserve"> </w:t>
      </w:r>
      <w:proofErr w:type="spellStart"/>
      <w:r w:rsidRPr="00DE3CD1">
        <w:rPr>
          <w:i/>
          <w:sz w:val="23"/>
          <w:szCs w:val="23"/>
          <w:lang w:val="en-GB"/>
        </w:rPr>
        <w:t>vyzimovaných</w:t>
      </w:r>
      <w:proofErr w:type="spellEnd"/>
      <w:r w:rsidRPr="00DE3CD1">
        <w:rPr>
          <w:i/>
          <w:sz w:val="23"/>
          <w:szCs w:val="23"/>
          <w:lang w:val="en-GB"/>
        </w:rPr>
        <w:t xml:space="preserve"> </w:t>
      </w:r>
      <w:proofErr w:type="spellStart"/>
      <w:r w:rsidRPr="00DE3CD1">
        <w:rPr>
          <w:i/>
          <w:sz w:val="23"/>
          <w:szCs w:val="23"/>
          <w:lang w:val="en-GB"/>
        </w:rPr>
        <w:t>včelstev</w:t>
      </w:r>
      <w:proofErr w:type="spellEnd"/>
      <w:r w:rsidRPr="00DE3CD1">
        <w:rPr>
          <w:i/>
          <w:sz w:val="23"/>
          <w:szCs w:val="23"/>
          <w:lang w:val="en-GB"/>
        </w:rPr>
        <w:t xml:space="preserve">, </w:t>
      </w:r>
      <w:proofErr w:type="spellStart"/>
      <w:r w:rsidRPr="00DE3CD1">
        <w:rPr>
          <w:i/>
          <w:sz w:val="23"/>
          <w:szCs w:val="23"/>
          <w:lang w:val="en-GB"/>
        </w:rPr>
        <w:t>Moderní</w:t>
      </w:r>
      <w:proofErr w:type="spellEnd"/>
      <w:r w:rsidRPr="00DE3CD1">
        <w:rPr>
          <w:i/>
          <w:sz w:val="23"/>
          <w:szCs w:val="23"/>
          <w:lang w:val="en-GB"/>
        </w:rPr>
        <w:t xml:space="preserve"> </w:t>
      </w:r>
      <w:proofErr w:type="spellStart"/>
      <w:r w:rsidRPr="00DE3CD1">
        <w:rPr>
          <w:i/>
          <w:sz w:val="23"/>
          <w:szCs w:val="23"/>
          <w:lang w:val="en-GB"/>
        </w:rPr>
        <w:t>včelař</w:t>
      </w:r>
      <w:proofErr w:type="spellEnd"/>
      <w:r w:rsidRPr="00DE3CD1">
        <w:rPr>
          <w:i/>
          <w:sz w:val="23"/>
          <w:szCs w:val="23"/>
          <w:lang w:val="en-GB"/>
        </w:rPr>
        <w:t xml:space="preserve"> 2/2014</w:t>
      </w:r>
    </w:p>
    <w:p w:rsidR="003C2FF8" w:rsidRPr="000A2DB6" w:rsidRDefault="003C2FF8" w:rsidP="006A36C5">
      <w:pPr>
        <w:rPr>
          <w:lang w:val="en-GB"/>
        </w:rPr>
      </w:pPr>
    </w:p>
    <w:sectPr w:rsidR="003C2FF8" w:rsidRPr="000A2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5A"/>
    <w:rsid w:val="000305F2"/>
    <w:rsid w:val="00096FD4"/>
    <w:rsid w:val="000A2DB6"/>
    <w:rsid w:val="0019283B"/>
    <w:rsid w:val="001D7071"/>
    <w:rsid w:val="001F2C39"/>
    <w:rsid w:val="00230E27"/>
    <w:rsid w:val="00254E52"/>
    <w:rsid w:val="002A3A35"/>
    <w:rsid w:val="002A475F"/>
    <w:rsid w:val="002E3BAA"/>
    <w:rsid w:val="002E722F"/>
    <w:rsid w:val="003C2FF8"/>
    <w:rsid w:val="004056AE"/>
    <w:rsid w:val="00467E76"/>
    <w:rsid w:val="00605C30"/>
    <w:rsid w:val="0065215A"/>
    <w:rsid w:val="00686B52"/>
    <w:rsid w:val="00695BA5"/>
    <w:rsid w:val="006A36C5"/>
    <w:rsid w:val="006C163D"/>
    <w:rsid w:val="006D7731"/>
    <w:rsid w:val="00710D05"/>
    <w:rsid w:val="00816E08"/>
    <w:rsid w:val="008A783B"/>
    <w:rsid w:val="009F395B"/>
    <w:rsid w:val="00A73E3D"/>
    <w:rsid w:val="00AB542C"/>
    <w:rsid w:val="00AB749D"/>
    <w:rsid w:val="00AF200E"/>
    <w:rsid w:val="00BD3787"/>
    <w:rsid w:val="00C064F0"/>
    <w:rsid w:val="00C66CBA"/>
    <w:rsid w:val="00CF7FA3"/>
    <w:rsid w:val="00D6615E"/>
    <w:rsid w:val="00D6729A"/>
    <w:rsid w:val="00D85CA2"/>
    <w:rsid w:val="00D87E6D"/>
    <w:rsid w:val="00DD3B9A"/>
    <w:rsid w:val="00DE3CD1"/>
    <w:rsid w:val="00E0740A"/>
    <w:rsid w:val="00EB28CB"/>
    <w:rsid w:val="00F0286B"/>
    <w:rsid w:val="00F41D21"/>
    <w:rsid w:val="00F43784"/>
    <w:rsid w:val="00FD6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31"/>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215A"/>
    <w:pPr>
      <w:autoSpaceDE w:val="0"/>
      <w:autoSpaceDN w:val="0"/>
      <w:adjustRightInd w:val="0"/>
      <w:spacing w:after="0" w:line="240" w:lineRule="auto"/>
    </w:pPr>
    <w:rPr>
      <w:rFonts w:cs="Times New Roman"/>
      <w:color w:val="000000"/>
      <w:szCs w:val="24"/>
    </w:rPr>
  </w:style>
  <w:style w:type="paragraph" w:styleId="Textbubliny">
    <w:name w:val="Balloon Text"/>
    <w:basedOn w:val="Normln"/>
    <w:link w:val="TextbublinyChar"/>
    <w:uiPriority w:val="99"/>
    <w:semiHidden/>
    <w:unhideWhenUsed/>
    <w:rsid w:val="00F437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784"/>
    <w:rPr>
      <w:rFonts w:ascii="Tahoma" w:hAnsi="Tahoma" w:cs="Tahoma"/>
      <w:sz w:val="16"/>
      <w:szCs w:val="16"/>
    </w:rPr>
  </w:style>
  <w:style w:type="paragraph" w:styleId="Normlnweb">
    <w:name w:val="Normal (Web)"/>
    <w:basedOn w:val="Normln"/>
    <w:uiPriority w:val="99"/>
    <w:semiHidden/>
    <w:unhideWhenUsed/>
    <w:rsid w:val="002E3BAA"/>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C06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7731"/>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215A"/>
    <w:pPr>
      <w:autoSpaceDE w:val="0"/>
      <w:autoSpaceDN w:val="0"/>
      <w:adjustRightInd w:val="0"/>
      <w:spacing w:after="0" w:line="240" w:lineRule="auto"/>
    </w:pPr>
    <w:rPr>
      <w:rFonts w:cs="Times New Roman"/>
      <w:color w:val="000000"/>
      <w:szCs w:val="24"/>
    </w:rPr>
  </w:style>
  <w:style w:type="paragraph" w:styleId="Textbubliny">
    <w:name w:val="Balloon Text"/>
    <w:basedOn w:val="Normln"/>
    <w:link w:val="TextbublinyChar"/>
    <w:uiPriority w:val="99"/>
    <w:semiHidden/>
    <w:unhideWhenUsed/>
    <w:rsid w:val="00F437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784"/>
    <w:rPr>
      <w:rFonts w:ascii="Tahoma" w:hAnsi="Tahoma" w:cs="Tahoma"/>
      <w:sz w:val="16"/>
      <w:szCs w:val="16"/>
    </w:rPr>
  </w:style>
  <w:style w:type="paragraph" w:styleId="Normlnweb">
    <w:name w:val="Normal (Web)"/>
    <w:basedOn w:val="Normln"/>
    <w:uiPriority w:val="99"/>
    <w:semiHidden/>
    <w:unhideWhenUsed/>
    <w:rsid w:val="002E3BAA"/>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C06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psnv.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554948545697439"/>
          <c:y val="4.1785591978898112E-2"/>
          <c:w val="0.79774735828637455"/>
          <c:h val="0.56699785361763932"/>
        </c:manualLayout>
      </c:layout>
      <c:barChart>
        <c:barDir val="col"/>
        <c:grouping val="clustered"/>
        <c:varyColors val="0"/>
        <c:ser>
          <c:idx val="0"/>
          <c:order val="0"/>
          <c:spPr>
            <a:solidFill>
              <a:schemeClr val="accent2">
                <a:lumMod val="40000"/>
                <a:lumOff val="60000"/>
              </a:schemeClr>
            </a:solidFill>
            <a:ln w="12700">
              <a:solidFill>
                <a:schemeClr val="tx1"/>
              </a:solidFill>
              <a:prstDash val="solid"/>
            </a:ln>
          </c:spPr>
          <c:invertIfNegative val="0"/>
          <c:dPt>
            <c:idx val="7"/>
            <c:invertIfNegative val="0"/>
            <c:bubble3D val="0"/>
          </c:dPt>
          <c:errBars>
            <c:errBarType val="both"/>
            <c:errValType val="cust"/>
            <c:noEndCap val="0"/>
            <c:plus>
              <c:numRef>
                <c:f>Tabelle1!$I$6:$I$13</c:f>
                <c:numCache>
                  <c:formatCode>General</c:formatCode>
                  <c:ptCount val="8"/>
                  <c:pt idx="0">
                    <c:v>1.5205399999999987</c:v>
                  </c:pt>
                  <c:pt idx="1">
                    <c:v>1.2708289999999991</c:v>
                  </c:pt>
                  <c:pt idx="2">
                    <c:v>2.2604115100000008</c:v>
                  </c:pt>
                  <c:pt idx="3">
                    <c:v>1.4310700000000018</c:v>
                  </c:pt>
                  <c:pt idx="4">
                    <c:v>1.3246254658002528</c:v>
                  </c:pt>
                  <c:pt idx="5">
                    <c:v>1.3253381521179008</c:v>
                  </c:pt>
                  <c:pt idx="6">
                    <c:v>1.1208300000000015</c:v>
                  </c:pt>
                  <c:pt idx="7">
                    <c:v>1.0999999999999996</c:v>
                  </c:pt>
                </c:numCache>
              </c:numRef>
            </c:plus>
            <c:minus>
              <c:numRef>
                <c:f>Tabelle1!$H$6:$H$13</c:f>
                <c:numCache>
                  <c:formatCode>General</c:formatCode>
                  <c:ptCount val="8"/>
                  <c:pt idx="0">
                    <c:v>1.3735700000000008</c:v>
                  </c:pt>
                  <c:pt idx="1">
                    <c:v>1.1820580000000014</c:v>
                  </c:pt>
                  <c:pt idx="2">
                    <c:v>2.004608489999999</c:v>
                  </c:pt>
                  <c:pt idx="3">
                    <c:v>1.5399799999999981</c:v>
                  </c:pt>
                  <c:pt idx="4">
                    <c:v>1.2819645341997443</c:v>
                  </c:pt>
                  <c:pt idx="5">
                    <c:v>1.2497918478821006</c:v>
                  </c:pt>
                  <c:pt idx="6">
                    <c:v>1.0406499999999994</c:v>
                  </c:pt>
                  <c:pt idx="7">
                    <c:v>1</c:v>
                  </c:pt>
                </c:numCache>
              </c:numRef>
            </c:minus>
            <c:spPr>
              <a:ln>
                <a:solidFill>
                  <a:schemeClr val="tx1"/>
                </a:solidFill>
              </a:ln>
            </c:spPr>
          </c:errBars>
          <c:cat>
            <c:strRef>
              <c:f>Tabelle1!$C$6:$C$12</c:f>
              <c:strCache>
                <c:ptCount val="7"/>
                <c:pt idx="0">
                  <c:v>2007/08</c:v>
                </c:pt>
                <c:pt idx="1">
                  <c:v>2008/09</c:v>
                </c:pt>
                <c:pt idx="2">
                  <c:v>2009/10</c:v>
                </c:pt>
                <c:pt idx="3">
                  <c:v>2010/11</c:v>
                </c:pt>
                <c:pt idx="4">
                  <c:v>2011/12</c:v>
                </c:pt>
                <c:pt idx="5">
                  <c:v>2012/13</c:v>
                </c:pt>
                <c:pt idx="6">
                  <c:v>2013/14</c:v>
                </c:pt>
              </c:strCache>
            </c:strRef>
          </c:cat>
          <c:val>
            <c:numRef>
              <c:f>Tabelle1!$D$6:$D$12</c:f>
              <c:numCache>
                <c:formatCode>0.0</c:formatCode>
                <c:ptCount val="7"/>
                <c:pt idx="0">
                  <c:v>13.3</c:v>
                </c:pt>
                <c:pt idx="1">
                  <c:v>9.3000000000000007</c:v>
                </c:pt>
                <c:pt idx="2">
                  <c:v>14.66909849</c:v>
                </c:pt>
                <c:pt idx="3">
                  <c:v>16.399999999999999</c:v>
                </c:pt>
                <c:pt idx="4">
                  <c:v>25.893874534199746</c:v>
                </c:pt>
                <c:pt idx="5">
                  <c:v>17.329691847882099</c:v>
                </c:pt>
                <c:pt idx="6">
                  <c:v>12.475899999999999</c:v>
                </c:pt>
              </c:numCache>
            </c:numRef>
          </c:val>
        </c:ser>
        <c:ser>
          <c:idx val="1"/>
          <c:order val="1"/>
          <c:spPr>
            <a:solidFill>
              <a:schemeClr val="accent1">
                <a:lumMod val="20000"/>
                <a:lumOff val="80000"/>
              </a:schemeClr>
            </a:solidFill>
            <a:ln w="12700">
              <a:solidFill>
                <a:schemeClr val="tx1"/>
              </a:solidFill>
            </a:ln>
          </c:spPr>
          <c:invertIfNegative val="0"/>
          <c:errBars>
            <c:errBarType val="both"/>
            <c:errValType val="cust"/>
            <c:noEndCap val="0"/>
            <c:plus>
              <c:numRef>
                <c:f>Tabelle1!$I$13</c:f>
                <c:numCache>
                  <c:formatCode>General</c:formatCode>
                  <c:ptCount val="1"/>
                  <c:pt idx="0">
                    <c:v>1.0999999999999996</c:v>
                  </c:pt>
                </c:numCache>
              </c:numRef>
            </c:plus>
            <c:minus>
              <c:numRef>
                <c:f>Tabelle1!$H$13</c:f>
                <c:numCache>
                  <c:formatCode>General</c:formatCode>
                  <c:ptCount val="1"/>
                  <c:pt idx="0">
                    <c:v>1</c:v>
                  </c:pt>
                </c:numCache>
              </c:numRef>
            </c:minus>
          </c:errBars>
          <c:cat>
            <c:strRef>
              <c:f>Tabelle1!$C$6:$C$12</c:f>
              <c:strCache>
                <c:ptCount val="7"/>
                <c:pt idx="0">
                  <c:v>2007/08</c:v>
                </c:pt>
                <c:pt idx="1">
                  <c:v>2008/09</c:v>
                </c:pt>
                <c:pt idx="2">
                  <c:v>2009/10</c:v>
                </c:pt>
                <c:pt idx="3">
                  <c:v>2010/11</c:v>
                </c:pt>
                <c:pt idx="4">
                  <c:v>2011/12</c:v>
                </c:pt>
                <c:pt idx="5">
                  <c:v>2012/13</c:v>
                </c:pt>
                <c:pt idx="6">
                  <c:v>2013/14</c:v>
                </c:pt>
              </c:strCache>
            </c:strRef>
          </c:cat>
          <c:val>
            <c:numRef>
              <c:f>Tabelle1!$E$6:$E$12</c:f>
              <c:numCache>
                <c:formatCode>General</c:formatCode>
                <c:ptCount val="7"/>
                <c:pt idx="6" formatCode="0.0">
                  <c:v>6.5</c:v>
                </c:pt>
              </c:numCache>
            </c:numRef>
          </c:val>
        </c:ser>
        <c:dLbls>
          <c:showLegendKey val="0"/>
          <c:showVal val="0"/>
          <c:showCatName val="0"/>
          <c:showSerName val="0"/>
          <c:showPercent val="0"/>
          <c:showBubbleSize val="0"/>
        </c:dLbls>
        <c:gapWidth val="4"/>
        <c:axId val="66503424"/>
        <c:axId val="66505344"/>
      </c:barChart>
      <c:catAx>
        <c:axId val="66503424"/>
        <c:scaling>
          <c:orientation val="minMax"/>
        </c:scaling>
        <c:delete val="0"/>
        <c:axPos val="b"/>
        <c:title>
          <c:tx>
            <c:rich>
              <a:bodyPr/>
              <a:lstStyle/>
              <a:p>
                <a:pPr>
                  <a:defRPr/>
                </a:pPr>
                <a:r>
                  <a:rPr lang="de-AT"/>
                  <a:t>Winter</a:t>
                </a:r>
              </a:p>
            </c:rich>
          </c:tx>
          <c:layout>
            <c:manualLayout>
              <c:xMode val="edge"/>
              <c:yMode val="edge"/>
              <c:x val="0.50101190442607102"/>
              <c:y val="0.87548557467322996"/>
            </c:manualLayout>
          </c:layout>
          <c:overlay val="0"/>
        </c:title>
        <c:numFmt formatCode="General" sourceLinked="1"/>
        <c:majorTickMark val="out"/>
        <c:minorTickMark val="none"/>
        <c:tickLblPos val="low"/>
        <c:spPr>
          <a:ln w="3175">
            <a:solidFill>
              <a:schemeClr val="tx1"/>
            </a:solidFill>
            <a:prstDash val="solid"/>
          </a:ln>
        </c:spPr>
        <c:txPr>
          <a:bodyPr rot="-2700000" vert="horz"/>
          <a:lstStyle/>
          <a:p>
            <a:pPr>
              <a:defRPr/>
            </a:pPr>
            <a:endParaRPr lang="cs-CZ"/>
          </a:p>
        </c:txPr>
        <c:crossAx val="66505344"/>
        <c:crossesAt val="0"/>
        <c:auto val="1"/>
        <c:lblAlgn val="ctr"/>
        <c:lblOffset val="100"/>
        <c:tickLblSkip val="1"/>
        <c:tickMarkSkip val="1"/>
        <c:noMultiLvlLbl val="0"/>
      </c:catAx>
      <c:valAx>
        <c:axId val="66505344"/>
        <c:scaling>
          <c:orientation val="minMax"/>
          <c:max val="30"/>
        </c:scaling>
        <c:delete val="0"/>
        <c:axPos val="l"/>
        <c:majorGridlines>
          <c:spPr>
            <a:ln w="3175">
              <a:solidFill>
                <a:schemeClr val="tx1"/>
              </a:solidFill>
              <a:prstDash val="solid"/>
            </a:ln>
          </c:spPr>
        </c:majorGridlines>
        <c:title>
          <c:tx>
            <c:rich>
              <a:bodyPr/>
              <a:lstStyle/>
              <a:p>
                <a:pPr>
                  <a:defRPr/>
                </a:pPr>
                <a:r>
                  <a:rPr lang="de-AT"/>
                  <a:t>Colony loss rate [%]</a:t>
                </a:r>
              </a:p>
            </c:rich>
          </c:tx>
          <c:layout>
            <c:manualLayout>
              <c:xMode val="edge"/>
              <c:yMode val="edge"/>
              <c:x val="5.2576855037872211E-2"/>
              <c:y val="3.272832228263297E-2"/>
            </c:manualLayout>
          </c:layout>
          <c:overlay val="0"/>
          <c:spPr>
            <a:noFill/>
            <a:ln w="25400">
              <a:noFill/>
            </a:ln>
          </c:spPr>
        </c:title>
        <c:numFmt formatCode="General" sourceLinked="0"/>
        <c:majorTickMark val="out"/>
        <c:minorTickMark val="none"/>
        <c:tickLblPos val="low"/>
        <c:spPr>
          <a:ln w="3175">
            <a:solidFill>
              <a:schemeClr val="tx1"/>
            </a:solidFill>
            <a:prstDash val="solid"/>
          </a:ln>
        </c:spPr>
        <c:txPr>
          <a:bodyPr rot="0" vert="horz"/>
          <a:lstStyle/>
          <a:p>
            <a:pPr>
              <a:defRPr/>
            </a:pPr>
            <a:endParaRPr lang="cs-CZ"/>
          </a:p>
        </c:txPr>
        <c:crossAx val="66503424"/>
        <c:crosses val="autoZero"/>
        <c:crossBetween val="between"/>
        <c:majorUnit val="10"/>
      </c:valAx>
      <c:spPr>
        <a:noFill/>
        <a:ln w="12700">
          <a:solidFill>
            <a:schemeClr val="tx1"/>
          </a:solidFill>
        </a:ln>
      </c:spPr>
    </c:plotArea>
    <c:plotVisOnly val="0"/>
    <c:dispBlanksAs val="gap"/>
    <c:showDLblsOverMax val="0"/>
  </c:chart>
  <c:spPr>
    <a:noFill/>
    <a:ln w="9525">
      <a:noFill/>
    </a:ln>
  </c:spPr>
  <c:txPr>
    <a:bodyPr/>
    <a:lstStyle/>
    <a:p>
      <a:pPr>
        <a:defRPr sz="800" b="0" i="0" u="none" strike="noStrike" baseline="0">
          <a:solidFill>
            <a:srgbClr val="000000"/>
          </a:solidFill>
          <a:latin typeface="Verdana" panose="020B0604030504040204" pitchFamily="34" charset="0"/>
          <a:ea typeface="Verdana" panose="020B0604030504040204" pitchFamily="34" charset="0"/>
          <a:cs typeface="Verdana" panose="020B0604030504040204" pitchFamily="34" charset="0"/>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4950</Characters>
  <Application>Microsoft Office Word</Application>
  <DocSecurity>0</DocSecurity>
  <Lines>41</Lines>
  <Paragraphs>11</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Danihlik</dc:creator>
  <cp:lastModifiedBy>Jiri Danihlik</cp:lastModifiedBy>
  <cp:revision>42</cp:revision>
  <dcterms:created xsi:type="dcterms:W3CDTF">2014-11-04T10:23:00Z</dcterms:created>
  <dcterms:modified xsi:type="dcterms:W3CDTF">2014-11-05T14:03:00Z</dcterms:modified>
</cp:coreProperties>
</file>